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8" w:name="nota-interna-estratégia-póssentença"/>
    <w:p>
      <w:pPr>
        <w:pStyle w:val="Heading2"/>
      </w:pPr>
      <w:r>
        <w:t xml:space="preserve">Nota Interna – Estratégia Pós‑Sentença</w:t>
      </w:r>
    </w:p>
    <w:p>
      <w:pPr>
        <w:pStyle w:val="FirstParagraph"/>
      </w:pPr>
      <w:r>
        <w:rPr>
          <w:b/>
          <w:bCs/>
        </w:rPr>
        <w:t xml:space="preserve">Processo n.º:</w:t>
      </w:r>
      <w:r>
        <w:t xml:space="preserve"> </w:t>
      </w:r>
      <w:r>
        <w:t xml:space="preserve">1234/2026 – Despedimento por Justa Causa – Uso Indevido de Email Corporativo</w:t>
      </w:r>
      <w:r>
        <w:br/>
      </w:r>
      <w:r>
        <w:rPr>
          <w:b/>
          <w:bCs/>
        </w:rPr>
        <w:t xml:space="preserve">Autor/Requerente:</w:t>
      </w:r>
      <w:r>
        <w:t xml:space="preserve"> </w:t>
      </w:r>
      <w:r>
        <w:t xml:space="preserve">José Manuel da Silva</w:t>
      </w:r>
      <w:r>
        <w:br/>
      </w:r>
      <w:r>
        <w:rPr>
          <w:b/>
          <w:bCs/>
        </w:rPr>
        <w:t xml:space="preserve">Réu/Requerido:</w:t>
      </w:r>
      <w:r>
        <w:t xml:space="preserve"> </w:t>
      </w:r>
      <w:r>
        <w:t xml:space="preserve">Empresa XYZ, Lda.</w:t>
      </w:r>
      <w:r>
        <w:br/>
      </w:r>
      <w:r>
        <w:rPr>
          <w:b/>
          <w:bCs/>
        </w:rPr>
        <w:t xml:space="preserve">Mandatários:</w:t>
      </w:r>
      <w:r>
        <w:t xml:space="preserve"> </w:t>
      </w:r>
      <w:r>
        <w:t xml:space="preserve">Dr. António Ribeiro (OA 12345) –</w:t>
      </w:r>
      <w:r>
        <w:t xml:space="preserve"> </w:t>
      </w:r>
      <w:r>
        <w:rPr>
          <w:b/>
          <w:bCs/>
        </w:rPr>
        <w:t xml:space="preserve">Responsável de Estratégia</w:t>
      </w:r>
      <w:r>
        <w:br/>
      </w:r>
      <w:r>
        <w:t xml:space="preserve">                      Dra. Sofia Carvalho (OA 67890) –</w:t>
      </w:r>
      <w:r>
        <w:t xml:space="preserve"> </w:t>
      </w:r>
      <w:r>
        <w:rPr>
          <w:b/>
          <w:bCs/>
        </w:rPr>
        <w:t xml:space="preserve">Responsável de Litígios</w:t>
      </w:r>
      <w:r>
        <w:br/>
      </w:r>
      <w:r>
        <w:rPr>
          <w:b/>
          <w:bCs/>
        </w:rPr>
        <w:t xml:space="preserve">Juíza:</w:t>
      </w:r>
      <w:r>
        <w:t xml:space="preserve"> </w:t>
      </w:r>
      <w:r>
        <w:t xml:space="preserve">Dr.ª Maria de Lurdes Santos (Tribunal Judicial do Trabalho de Lisboa)</w:t>
      </w:r>
    </w:p>
    <w:p>
      <w:pPr>
        <w:pStyle w:val="BlockText"/>
      </w:pPr>
      <w:r>
        <w:rPr>
          <w:b/>
          <w:bCs/>
        </w:rPr>
        <w:t xml:space="preserve">Objetivo:</w:t>
      </w:r>
      <w:r>
        <w:t xml:space="preserve"> </w:t>
      </w:r>
      <w:r>
        <w:t xml:space="preserve">Definir, de forma detalhada, os passos a seguir caso a sentença proferida seja desfavorável ao nosso cliente, nomeadamente a interposição de recurso, a preparação de alegações complementares e a eventual negociação de acordo.</w:t>
      </w:r>
    </w:p>
    <w:p>
      <w:r>
        <w:pict>
          <v:rect style="width:0;height:1.5pt" o:hralign="center" o:hrstd="t" o:hr="t"/>
        </w:pict>
      </w:r>
    </w:p>
    <w:bookmarkStart w:id="9" w:name="Xaa7fbcb730198069696c23becedb51706db4bd9"/>
    <w:p>
      <w:pPr>
        <w:pStyle w:val="Heading3"/>
      </w:pPr>
      <w:r>
        <w:t xml:space="preserve">1. Contexto da Sentença (Hipótese Desfavorável)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970"/>
        <w:gridCol w:w="495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Item</w:t>
            </w:r>
          </w:p>
        </w:tc>
        <w:tc>
          <w:tcPr/>
          <w:p>
            <w:pPr>
              <w:pStyle w:val="Compact"/>
            </w:pPr>
            <w:r>
              <w:t xml:space="preserve">Conteúdo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Data da Sentença</w:t>
            </w:r>
          </w:p>
        </w:tc>
        <w:tc>
          <w:tcPr/>
          <w:p>
            <w:pPr>
              <w:pStyle w:val="Compact"/>
            </w:pPr>
            <w:r>
              <w:t xml:space="preserve">12 de fevereiro de 2026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Resultado</w:t>
            </w:r>
          </w:p>
        </w:tc>
        <w:tc>
          <w:tcPr/>
          <w:p>
            <w:pPr>
              <w:pStyle w:val="Compact"/>
            </w:pPr>
            <w:r>
              <w:t xml:space="preserve">Julgamento procedente do pedido da Empresa XYZ, Lda.; condenação do reclamante ao pagamento de € 12 500,00 a título de indemnização por incumprimento de obrigação contractual.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Fundamentação da Juíza</w:t>
            </w:r>
          </w:p>
        </w:tc>
        <w:tc>
          <w:tcPr/>
          <w:p>
            <w:pPr>
              <w:pStyle w:val="Compact"/>
            </w:pPr>
            <w:r>
              <w:t xml:space="preserve">– Considerou comprovado o uso indevido do email corporativo para fins pessoais.</w:t>
            </w:r>
            <w:r>
              <w:t xml:space="preserve">– Entendeu que a violação do dever de lealdade configurou falta grave, justificando a despedida por justa causa.</w:t>
            </w:r>
            <w:r>
              <w:t xml:space="preserve">– Afastou a alegação de ausência de comunicação prévia, por entender que a empresa cumpriu o artigo 351.º do CPC.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Pontos críticos para recurso</w:t>
            </w:r>
          </w:p>
        </w:tc>
        <w:tc>
          <w:tcPr/>
          <w:p>
            <w:pPr>
              <w:pStyle w:val="Compact"/>
            </w:pPr>
            <w:r>
              <w:t xml:space="preserve">1.</w:t>
            </w:r>
            <w:r>
              <w:t xml:space="preserve"> </w:t>
            </w:r>
            <w:r>
              <w:rPr>
                <w:b/>
                <w:bCs/>
              </w:rPr>
              <w:t xml:space="preserve">Valoração da prova documental</w:t>
            </w:r>
            <w:r>
              <w:t xml:space="preserve"> </w:t>
            </w:r>
            <w:r>
              <w:t xml:space="preserve">– O tribunal atribuiu peso excessivo a e‑mails que, na realidade, continham apenas mensagens de natureza pessoal sem repercussão profissional.</w:t>
            </w:r>
            <w:r>
              <w:t xml:space="preserve">2.</w:t>
            </w:r>
            <w:r>
              <w:t xml:space="preserve"> </w:t>
            </w:r>
            <w:r>
              <w:rPr>
                <w:b/>
                <w:bCs/>
              </w:rPr>
              <w:t xml:space="preserve">Aplicação do princípio da proporcionalidade</w:t>
            </w:r>
            <w:r>
              <w:t xml:space="preserve"> </w:t>
            </w:r>
            <w:r>
              <w:t xml:space="preserve">– A sanção de despedimento por justa causa parece desproporcional face à gravidade da conduta alegada.</w:t>
            </w:r>
            <w:r>
              <w:t xml:space="preserve">3.</w:t>
            </w:r>
            <w:r>
              <w:t xml:space="preserve"> </w:t>
            </w:r>
            <w:r>
              <w:rPr>
                <w:b/>
                <w:bCs/>
              </w:rPr>
              <w:t xml:space="preserve">Inobservância dos requisitos formais de comunicação</w:t>
            </w:r>
            <w:r>
              <w:t xml:space="preserve"> </w:t>
            </w:r>
            <w:r>
              <w:t xml:space="preserve">– Falta de notificação escrita prévia, contrariando o artigo 351.º, n.º 2, do Código do Trabalho.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3" w:name="estratégia-de-recurso"/>
    <w:p>
      <w:pPr>
        <w:pStyle w:val="Heading3"/>
      </w:pPr>
      <w:r>
        <w:t xml:space="preserve">2. Estratégia de Recurso</w:t>
      </w:r>
    </w:p>
    <w:bookmarkStart w:id="10" w:name="tipo-de-recurso"/>
    <w:p>
      <w:pPr>
        <w:pStyle w:val="Heading4"/>
      </w:pPr>
      <w:r>
        <w:t xml:space="preserve">2.1. Tipo de Recurso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Apelação</w:t>
      </w:r>
      <w:r>
        <w:t xml:space="preserve"> </w:t>
      </w:r>
      <w:r>
        <w:t xml:space="preserve">ao</w:t>
      </w:r>
      <w:r>
        <w:t xml:space="preserve"> </w:t>
      </w:r>
      <w:r>
        <w:rPr>
          <w:b/>
          <w:bCs/>
        </w:rPr>
        <w:t xml:space="preserve">Tribunal da Relação</w:t>
      </w:r>
      <w:r>
        <w:t xml:space="preserve"> </w:t>
      </w:r>
      <w:r>
        <w:t xml:space="preserve">(Secção de Trabalho) nos termos do artigo 598.º, n.º 1, do CPC.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Fundamentação principal:</w:t>
      </w:r>
      <w:r>
        <w:t xml:space="preserve"> </w:t>
      </w:r>
      <w:r>
        <w:t xml:space="preserve">Violação dos princípios da</w:t>
      </w:r>
      <w:r>
        <w:t xml:space="preserve"> </w:t>
      </w:r>
      <w:r>
        <w:rPr>
          <w:b/>
          <w:bCs/>
        </w:rPr>
        <w:t xml:space="preserve">proporcionalidade</w:t>
      </w:r>
      <w:r>
        <w:t xml:space="preserve">,</w:t>
      </w:r>
      <w:r>
        <w:t xml:space="preserve"> </w:t>
      </w:r>
      <w:r>
        <w:rPr>
          <w:b/>
          <w:bCs/>
        </w:rPr>
        <w:t xml:space="preserve">contraditório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cautela legal</w:t>
      </w:r>
      <w:r>
        <w:t xml:space="preserve"> </w:t>
      </w:r>
      <w:r>
        <w:t xml:space="preserve">na aplicação da justa causa.</w:t>
      </w:r>
    </w:p>
    <w:bookmarkEnd w:id="10"/>
    <w:bookmarkStart w:id="11" w:name="fundamentação-jurídica"/>
    <w:p>
      <w:pPr>
        <w:pStyle w:val="Heading4"/>
      </w:pPr>
      <w:r>
        <w:t xml:space="preserve">2.2. Fundamentação Jurídica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482"/>
        <w:gridCol w:w="2718"/>
        <w:gridCol w:w="2718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Teses a desenvolver</w:t>
            </w:r>
          </w:p>
        </w:tc>
        <w:tc>
          <w:tcPr/>
          <w:p>
            <w:pPr>
              <w:pStyle w:val="Compact"/>
            </w:pPr>
            <w:r>
              <w:t xml:space="preserve">Artigos de referência</w:t>
            </w:r>
          </w:p>
        </w:tc>
        <w:tc>
          <w:tcPr/>
          <w:p>
            <w:pPr>
              <w:pStyle w:val="Compact"/>
            </w:pPr>
            <w:r>
              <w:t xml:space="preserve">Argumentação resumida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A) Inexistência de falta grave</w:t>
            </w:r>
          </w:p>
        </w:tc>
        <w:tc>
          <w:tcPr/>
          <w:p>
            <w:pPr>
              <w:pStyle w:val="Compact"/>
            </w:pPr>
            <w:r>
              <w:t xml:space="preserve">Art. 351.º, n.º 1, alínea d) do Código do Trabalho</w:t>
            </w:r>
          </w:p>
        </w:tc>
        <w:tc>
          <w:tcPr/>
          <w:p>
            <w:pPr>
              <w:pStyle w:val="Compact"/>
            </w:pPr>
            <w:r>
              <w:t xml:space="preserve">O uso de email para comunicações pessoais, sem repercussão na atividade da empresa, não constitui violação do dever de lealdade.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B) Violação do princípio da proporcionalidade</w:t>
            </w:r>
          </w:p>
        </w:tc>
        <w:tc>
          <w:tcPr/>
          <w:p>
            <w:pPr>
              <w:pStyle w:val="Compact"/>
            </w:pPr>
            <w:r>
              <w:t xml:space="preserve">Art. 21.º da Constituição da República Portuguesa; Art. 351.º, n.º 2, do CTT</w:t>
            </w:r>
          </w:p>
        </w:tc>
        <w:tc>
          <w:tcPr/>
          <w:p>
            <w:pPr>
              <w:pStyle w:val="Compact"/>
            </w:pPr>
            <w:r>
              <w:t xml:space="preserve">A medida de despedimento por justa causa é desproporcional quando a conduta não afeta a confiança essencial entre as partes.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C) Falta de comunicação prévia escrita</w:t>
            </w:r>
          </w:p>
        </w:tc>
        <w:tc>
          <w:tcPr/>
          <w:p>
            <w:pPr>
              <w:pStyle w:val="Compact"/>
            </w:pPr>
            <w:r>
              <w:t xml:space="preserve">Art. 351.º, n.º 2, do CTT; Art. 382.º, n.º 1, do CPC</w:t>
            </w:r>
          </w:p>
        </w:tc>
        <w:tc>
          <w:tcPr/>
          <w:p>
            <w:pPr>
              <w:pStyle w:val="Compact"/>
            </w:pPr>
            <w:r>
              <w:t xml:space="preserve">A empresa não entregou ao trabalhador a notificação escrita contendo a descrição dos factos e a possibilidade de defesa, o que invalida o procedimento de despedimento.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D) Erro na valoração da prova</w:t>
            </w:r>
          </w:p>
        </w:tc>
        <w:tc>
          <w:tcPr/>
          <w:p>
            <w:pPr>
              <w:pStyle w:val="Compact"/>
            </w:pPr>
            <w:r>
              <w:t xml:space="preserve">Art. 369.º do CPC</w:t>
            </w:r>
          </w:p>
        </w:tc>
        <w:tc>
          <w:tcPr/>
          <w:p>
            <w:pPr>
              <w:pStyle w:val="Compact"/>
            </w:pPr>
            <w:r>
              <w:t xml:space="preserve">O tribunal não apreciou adequadamente a natureza dos e‑mails, ignorando a inexistência de prejuízo concreto à empresa.</w:t>
            </w:r>
          </w:p>
        </w:tc>
      </w:tr>
    </w:tbl>
    <w:bookmarkEnd w:id="11"/>
    <w:bookmarkStart w:id="12" w:name="estrutura-da-apelação-esboço"/>
    <w:p>
      <w:pPr>
        <w:pStyle w:val="Heading4"/>
      </w:pPr>
      <w:r>
        <w:t xml:space="preserve">2.3. Estrutura da Apelação (esboço)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Exposição dos Factos</w:t>
      </w:r>
      <w:r>
        <w:t xml:space="preserve"> </w:t>
      </w:r>
      <w:r>
        <w:t xml:space="preserve">– Recapitulação sucinta do histórico laboral e das circunstâncias do despedimento.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Preliminares</w:t>
      </w:r>
      <w:r>
        <w:t xml:space="preserve"> </w:t>
      </w:r>
      <w:r>
        <w:t xml:space="preserve">– Verificação do cumprimento dos prazos e da legitimidade da parte apelante.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Fundamentação</w:t>
      </w:r>
      <w:r>
        <w:t xml:space="preserve"> </w:t>
      </w:r>
      <w:r>
        <w:t xml:space="preserve">– Desenvolvimento das teses A a D, com jurisprudência atual (ex.:</w:t>
      </w:r>
      <w:r>
        <w:t xml:space="preserve"> </w:t>
      </w:r>
      <w:r>
        <w:rPr>
          <w:i/>
          <w:iCs/>
        </w:rPr>
        <w:t xml:space="preserve">C‑123/20 – Tribunal da Relação de Lisboa</w:t>
      </w:r>
      <w:r>
        <w:t xml:space="preserve">;</w:t>
      </w:r>
      <w:r>
        <w:t xml:space="preserve"> </w:t>
      </w:r>
      <w:r>
        <w:rPr>
          <w:i/>
          <w:iCs/>
        </w:rPr>
        <w:t xml:space="preserve">STJ, Acórdão de 15/10/2022</w:t>
      </w:r>
      <w:r>
        <w:t xml:space="preserve">).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Pedidos</w:t>
      </w:r>
      <w:r>
        <w:t xml:space="preserve"> </w:t>
      </w:r>
      <w:r>
        <w:t xml:space="preserve">– (i) Anulação da sentença; (ii) Reconhecimento da inexistência de justa causa; (iii) Restituição do posto de trabalho ou, subsidiariamente, indemnização por despedimento ilícito (art. 353.º, n.º 1, CTT).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Provas</w:t>
      </w:r>
      <w:r>
        <w:t xml:space="preserve"> </w:t>
      </w:r>
      <w:r>
        <w:t xml:space="preserve">– Anexar novamente os e‑mails contestados, laudos periciais de TI que comprovam ausência de violação de segurança, e-mails de colegas que atestam a natureza pessoal das mensagens.</w:t>
      </w:r>
    </w:p>
    <w:p>
      <w:r>
        <w:pict>
          <v:rect style="width:0;height:1.5pt" o:hralign="center" o:hrstd="t" o:hr="t"/>
        </w:pict>
      </w:r>
    </w:p>
    <w:bookmarkEnd w:id="12"/>
    <w:bookmarkEnd w:id="13"/>
    <w:bookmarkStart w:id="14" w:name="prazos-e-procedimentos"/>
    <w:p>
      <w:pPr>
        <w:pStyle w:val="Heading3"/>
      </w:pPr>
      <w:r>
        <w:t xml:space="preserve">3. Prazos e Procedimentos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36"/>
        <w:gridCol w:w="1232"/>
        <w:gridCol w:w="2464"/>
        <w:gridCol w:w="2288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Atividade</w:t>
            </w:r>
          </w:p>
        </w:tc>
        <w:tc>
          <w:tcPr/>
          <w:p>
            <w:pPr>
              <w:pStyle w:val="Compact"/>
            </w:pPr>
            <w:r>
              <w:t xml:space="preserve">Prazo</w:t>
            </w:r>
          </w:p>
        </w:tc>
        <w:tc>
          <w:tcPr/>
          <w:p>
            <w:pPr>
              <w:pStyle w:val="Compact"/>
            </w:pPr>
            <w:r>
              <w:t xml:space="preserve">Responsável</w:t>
            </w:r>
          </w:p>
        </w:tc>
        <w:tc>
          <w:tcPr/>
          <w:p>
            <w:pPr>
              <w:pStyle w:val="Compact"/>
            </w:pPr>
            <w:r>
              <w:t xml:space="preserve">Observações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Notificação da sentença desfavorável ao cliente</w:t>
            </w:r>
          </w:p>
        </w:tc>
        <w:tc>
          <w:tcPr/>
          <w:p>
            <w:pPr>
              <w:pStyle w:val="Compact"/>
            </w:pPr>
            <w:r>
              <w:t xml:space="preserve">Até 2 dias úteis após a publicação</w:t>
            </w:r>
          </w:p>
        </w:tc>
        <w:tc>
          <w:tcPr/>
          <w:p>
            <w:pPr>
              <w:pStyle w:val="Compact"/>
            </w:pPr>
            <w:r>
              <w:t xml:space="preserve">Dr. António Ribeiro</w:t>
            </w:r>
          </w:p>
        </w:tc>
        <w:tc>
          <w:tcPr/>
          <w:p>
            <w:pPr>
              <w:pStyle w:val="Compact"/>
            </w:pPr>
            <w:r>
              <w:t xml:space="preserve">Enviar cópia certificada e resumo executivo.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Análise detalhada da sentença</w:t>
            </w:r>
          </w:p>
        </w:tc>
        <w:tc>
          <w:tcPr/>
          <w:p>
            <w:pPr>
              <w:pStyle w:val="Compact"/>
            </w:pPr>
            <w:r>
              <w:t xml:space="preserve">5 dias úteis</w:t>
            </w:r>
          </w:p>
        </w:tc>
        <w:tc>
          <w:tcPr/>
          <w:p>
            <w:pPr>
              <w:pStyle w:val="Compact"/>
            </w:pPr>
            <w:r>
              <w:t xml:space="preserve">Dra. Sofia Carvalho</w:t>
            </w:r>
          </w:p>
        </w:tc>
        <w:tc>
          <w:tcPr/>
          <w:p>
            <w:pPr>
              <w:pStyle w:val="Compact"/>
            </w:pPr>
            <w:r>
              <w:t xml:space="preserve">Identificar pontos vulneráveis e preparar relatório de recurso.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Elaboração do recurso de apelação</w:t>
            </w:r>
          </w:p>
        </w:tc>
        <w:tc>
          <w:tcPr/>
          <w:p>
            <w:pPr>
              <w:pStyle w:val="Compact"/>
            </w:pPr>
            <w:r>
              <w:t xml:space="preserve">15 dias úteis</w:t>
            </w:r>
          </w:p>
        </w:tc>
        <w:tc>
          <w:tcPr/>
          <w:p>
            <w:pPr>
              <w:pStyle w:val="Compact"/>
            </w:pPr>
            <w:r>
              <w:t xml:space="preserve">Dr. António Ribeiro (redação) + Dra. Sofia Carvalho (revisão)</w:t>
            </w:r>
          </w:p>
        </w:tc>
        <w:tc>
          <w:tcPr/>
          <w:p>
            <w:pPr>
              <w:pStyle w:val="Compact"/>
            </w:pPr>
            <w:r>
              <w:t xml:space="preserve">Incluir jurisprudência atualizada.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Recolha de documentos complementares</w:t>
            </w:r>
          </w:p>
        </w:tc>
        <w:tc>
          <w:tcPr/>
          <w:p>
            <w:pPr>
              <w:pStyle w:val="Compact"/>
            </w:pPr>
            <w:r>
              <w:t xml:space="preserve">10 dias úteis</w:t>
            </w:r>
          </w:p>
        </w:tc>
        <w:tc>
          <w:tcPr/>
          <w:p>
            <w:pPr>
              <w:pStyle w:val="Compact"/>
            </w:pPr>
            <w:r>
              <w:t xml:space="preserve">Assistente Jurídico (N.º 3)</w:t>
            </w:r>
          </w:p>
        </w:tc>
        <w:tc>
          <w:tcPr/>
          <w:p>
            <w:pPr>
              <w:pStyle w:val="Compact"/>
            </w:pPr>
            <w:r>
              <w:t xml:space="preserve">E‑mails, laudos periciais, declarações de testemunhas.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Depósito do recurso no Tribunal da Relação</w:t>
            </w:r>
          </w:p>
        </w:tc>
        <w:tc>
          <w:tcPr/>
          <w:p>
            <w:pPr>
              <w:pStyle w:val="Compact"/>
            </w:pPr>
            <w:r>
              <w:t xml:space="preserve">20 dias úteis (contados a partir da notificação da sentença)</w:t>
            </w:r>
          </w:p>
        </w:tc>
        <w:tc>
          <w:tcPr/>
          <w:p>
            <w:pPr>
              <w:pStyle w:val="Compact"/>
            </w:pPr>
            <w:r>
              <w:t xml:space="preserve">Dr. António Ribeiro</w:t>
            </w:r>
          </w:p>
        </w:tc>
        <w:tc>
          <w:tcPr/>
          <w:p>
            <w:pPr>
              <w:pStyle w:val="Compact"/>
            </w:pPr>
            <w:r>
              <w:t xml:space="preserve">Cumprir o prazo de 30 dias previsto no art. 598.º, n.º 1, CPC.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Comunicação ao cliente da interposição</w:t>
            </w:r>
          </w:p>
        </w:tc>
        <w:tc>
          <w:tcPr/>
          <w:p>
            <w:pPr>
              <w:pStyle w:val="Compact"/>
            </w:pPr>
            <w:r>
              <w:t xml:space="preserve">Imediata após depósito</w:t>
            </w:r>
          </w:p>
        </w:tc>
        <w:tc>
          <w:tcPr/>
          <w:p>
            <w:pPr>
              <w:pStyle w:val="Compact"/>
            </w:pPr>
            <w:r>
              <w:t xml:space="preserve">Dra. Sofia Carvalho</w:t>
            </w:r>
          </w:p>
        </w:tc>
        <w:tc>
          <w:tcPr/>
          <w:p>
            <w:pPr>
              <w:pStyle w:val="Compact"/>
            </w:pPr>
            <w:r>
              <w:t xml:space="preserve">Enviar certificado de entrega e número de processo.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Planeamento de estratégia de mediação (opcional)</w:t>
            </w:r>
          </w:p>
        </w:tc>
        <w:tc>
          <w:tcPr/>
          <w:p>
            <w:pPr>
              <w:pStyle w:val="Compact"/>
            </w:pPr>
            <w:r>
              <w:t xml:space="preserve">30 dias após depósito do recurso</w:t>
            </w:r>
          </w:p>
        </w:tc>
        <w:tc>
          <w:tcPr/>
          <w:p>
            <w:pPr>
              <w:pStyle w:val="Compact"/>
            </w:pPr>
            <w:r>
              <w:t xml:space="preserve">Ambos os mandatários</w:t>
            </w:r>
          </w:p>
        </w:tc>
        <w:tc>
          <w:tcPr/>
          <w:p>
            <w:pPr>
              <w:pStyle w:val="Compact"/>
            </w:pPr>
            <w:r>
              <w:t xml:space="preserve">Avaliar possibilidade de acordo extrajudicial antes da audiência de apelação.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4"/>
    <w:bookmarkStart w:id="15" w:name="tarefas-e-responsabilidades-internas"/>
    <w:p>
      <w:pPr>
        <w:pStyle w:val="Heading3"/>
      </w:pPr>
      <w:r>
        <w:t xml:space="preserve">4. Tarefas e Responsabilidades Internas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293"/>
        <w:gridCol w:w="2101"/>
        <w:gridCol w:w="2424"/>
        <w:gridCol w:w="2101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Tarefa</w:t>
            </w:r>
          </w:p>
        </w:tc>
        <w:tc>
          <w:tcPr/>
          <w:p>
            <w:pPr>
              <w:pStyle w:val="Compact"/>
            </w:pPr>
            <w:r>
              <w:t xml:space="preserve">Responsável</w:t>
            </w:r>
          </w:p>
        </w:tc>
        <w:tc>
          <w:tcPr/>
          <w:p>
            <w:pPr>
              <w:pStyle w:val="Compact"/>
            </w:pPr>
            <w:r>
              <w:t xml:space="preserve">Prazo interno</w:t>
            </w:r>
          </w:p>
        </w:tc>
        <w:tc>
          <w:tcPr/>
          <w:p>
            <w:pPr>
              <w:pStyle w:val="Compact"/>
            </w:pPr>
            <w:r>
              <w:t xml:space="preserve">Comentários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Revisão de jurisprudência</w:t>
            </w:r>
          </w:p>
        </w:tc>
        <w:tc>
          <w:tcPr/>
          <w:p>
            <w:pPr>
              <w:pStyle w:val="Compact"/>
            </w:pPr>
            <w:r>
              <w:t xml:space="preserve">Dr. António Ribeiro</w:t>
            </w:r>
          </w:p>
        </w:tc>
        <w:tc>
          <w:tcPr/>
          <w:p>
            <w:pPr>
              <w:pStyle w:val="Compact"/>
            </w:pPr>
            <w:r>
              <w:t xml:space="preserve">3 dias</w:t>
            </w:r>
          </w:p>
        </w:tc>
        <w:tc>
          <w:tcPr/>
          <w:p>
            <w:pPr>
              <w:pStyle w:val="Compact"/>
            </w:pPr>
            <w:r>
              <w:t xml:space="preserve">Utilizar base de dados</w:t>
            </w:r>
            <w:r>
              <w:t xml:space="preserve"> </w:t>
            </w:r>
            <w:r>
              <w:rPr>
                <w:i/>
                <w:iCs/>
              </w:rPr>
              <w:t xml:space="preserve">Jurisprudência Portuguesa</w:t>
            </w:r>
            <w:r>
              <w:t xml:space="preserve"> </w:t>
            </w:r>
            <w:r>
              <w:t xml:space="preserve">e</w:t>
            </w:r>
            <w:r>
              <w:t xml:space="preserve"> </w:t>
            </w:r>
            <w:r>
              <w:rPr>
                <w:i/>
                <w:iCs/>
              </w:rPr>
              <w:t xml:space="preserve">LexisNexis</w:t>
            </w:r>
            <w:r>
              <w:t xml:space="preserve">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Elaboração de parecer pericial de TI</w:t>
            </w:r>
          </w:p>
        </w:tc>
        <w:tc>
          <w:tcPr/>
          <w:p>
            <w:pPr>
              <w:pStyle w:val="Compact"/>
            </w:pPr>
            <w:r>
              <w:t xml:space="preserve">Consultor externo (Eng. Carlos Mendes)</w:t>
            </w:r>
          </w:p>
        </w:tc>
        <w:tc>
          <w:tcPr/>
          <w:p>
            <w:pPr>
              <w:pStyle w:val="Compact"/>
            </w:pPr>
            <w:r>
              <w:t xml:space="preserve">7 dias</w:t>
            </w:r>
          </w:p>
        </w:tc>
        <w:tc>
          <w:tcPr/>
          <w:p>
            <w:pPr>
              <w:pStyle w:val="Compact"/>
            </w:pPr>
            <w:r>
              <w:t xml:space="preserve">Confirmar que não houve acesso não autorizado a dados sensíveis.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Redação de memorando interno de defesa</w:t>
            </w:r>
          </w:p>
        </w:tc>
        <w:tc>
          <w:tcPr/>
          <w:p>
            <w:pPr>
              <w:pStyle w:val="Compact"/>
            </w:pPr>
            <w:r>
              <w:t xml:space="preserve">Dra. Sofia Carvalho</w:t>
            </w:r>
          </w:p>
        </w:tc>
        <w:tc>
          <w:tcPr/>
          <w:p>
            <w:pPr>
              <w:pStyle w:val="Compact"/>
            </w:pPr>
            <w:r>
              <w:t xml:space="preserve">5 dias</w:t>
            </w:r>
          </w:p>
        </w:tc>
        <w:tc>
          <w:tcPr/>
          <w:p>
            <w:pPr>
              <w:pStyle w:val="Compact"/>
            </w:pPr>
            <w:r>
              <w:t xml:space="preserve">Incluir argumentos de proporcionalidade e formalismo.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Atualização de planilha de custos</w:t>
            </w:r>
          </w:p>
        </w:tc>
        <w:tc>
          <w:tcPr/>
          <w:p>
            <w:pPr>
              <w:pStyle w:val="Compact"/>
            </w:pPr>
            <w:r>
              <w:t xml:space="preserve">Assistente Jurídico (N.º 2)</w:t>
            </w:r>
          </w:p>
        </w:tc>
        <w:tc>
          <w:tcPr/>
          <w:p>
            <w:pPr>
              <w:pStyle w:val="Compact"/>
            </w:pPr>
            <w:r>
              <w:t xml:space="preserve">2 dias</w:t>
            </w:r>
          </w:p>
        </w:tc>
        <w:tc>
          <w:tcPr/>
          <w:p>
            <w:pPr>
              <w:pStyle w:val="Compact"/>
            </w:pPr>
            <w:r>
              <w:t xml:space="preserve">Incluir honorários de recurso, custos periciais e despesas de deslocação.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Agendamento de reunião estratégica com o cliente</w:t>
            </w:r>
          </w:p>
        </w:tc>
        <w:tc>
          <w:tcPr/>
          <w:p>
            <w:pPr>
              <w:pStyle w:val="Compact"/>
            </w:pPr>
            <w:r>
              <w:t xml:space="preserve">Dr. António Ribeiro</w:t>
            </w:r>
          </w:p>
        </w:tc>
        <w:tc>
          <w:tcPr/>
          <w:p>
            <w:pPr>
              <w:pStyle w:val="Compact"/>
            </w:pPr>
            <w:r>
              <w:t xml:space="preserve">2 dias</w:t>
            </w:r>
          </w:p>
        </w:tc>
        <w:tc>
          <w:tcPr/>
          <w:p>
            <w:pPr>
              <w:pStyle w:val="Compact"/>
            </w:pPr>
            <w:r>
              <w:t xml:space="preserve">Data proposta: 22 de fevereiro de 2026 (10h00, escritório em Lisboa).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5"/>
    <w:bookmarkStart w:id="16" w:name="orçamento-e-honorários-estimativa"/>
    <w:p>
      <w:pPr>
        <w:pStyle w:val="Heading3"/>
      </w:pPr>
      <w:r>
        <w:t xml:space="preserve">5. Orçamento e Honorários (Estimativa)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043"/>
        <w:gridCol w:w="2810"/>
        <w:gridCol w:w="3065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Despesa</w:t>
            </w:r>
          </w:p>
        </w:tc>
        <w:tc>
          <w:tcPr/>
          <w:p>
            <w:pPr>
              <w:pStyle w:val="Compact"/>
            </w:pPr>
            <w:r>
              <w:t xml:space="preserve">Valor (€)</w:t>
            </w:r>
          </w:p>
        </w:tc>
        <w:tc>
          <w:tcPr/>
          <w:p>
            <w:pPr>
              <w:pStyle w:val="Compact"/>
            </w:pPr>
            <w:r>
              <w:t xml:space="preserve">Observação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Honorários de preparação do recurso</w:t>
            </w:r>
          </w:p>
        </w:tc>
        <w:tc>
          <w:tcPr/>
          <w:p>
            <w:pPr>
              <w:pStyle w:val="Compact"/>
            </w:pPr>
            <w:r>
              <w:t xml:space="preserve">3 200,00</w:t>
            </w:r>
          </w:p>
        </w:tc>
        <w:tc>
          <w:tcPr/>
          <w:p>
            <w:pPr>
              <w:pStyle w:val="Compact"/>
            </w:pPr>
            <w:r>
              <w:t xml:space="preserve">Baseados em 20 horas de trabalho (150,00€/h).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Peritagem de TI</w:t>
            </w:r>
          </w:p>
        </w:tc>
        <w:tc>
          <w:tcPr/>
          <w:p>
            <w:pPr>
              <w:pStyle w:val="Compact"/>
            </w:pPr>
            <w:r>
              <w:t xml:space="preserve">1 500,00</w:t>
            </w:r>
          </w:p>
        </w:tc>
        <w:tc>
          <w:tcPr/>
          <w:p>
            <w:pPr>
              <w:pStyle w:val="Compact"/>
            </w:pPr>
            <w:r>
              <w:t xml:space="preserve">Laudo pericial e análise de logs.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Custas judiciais (taxas de depósito)</w:t>
            </w:r>
          </w:p>
        </w:tc>
        <w:tc>
          <w:tcPr/>
          <w:p>
            <w:pPr>
              <w:pStyle w:val="Compact"/>
            </w:pPr>
            <w:r>
              <w:t xml:space="preserve">200,00</w:t>
            </w:r>
          </w:p>
        </w:tc>
        <w:tc>
          <w:tcPr/>
          <w:p>
            <w:pPr>
              <w:pStyle w:val="Compact"/>
            </w:pPr>
            <w:r>
              <w:t xml:space="preserve">Conforme tabela de custas do Tribunal da Relação.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Deslocações e despesas diversas</w:t>
            </w:r>
          </w:p>
        </w:tc>
        <w:tc>
          <w:tcPr/>
          <w:p>
            <w:pPr>
              <w:pStyle w:val="Compact"/>
            </w:pPr>
            <w:r>
              <w:t xml:space="preserve">300,00</w:t>
            </w:r>
          </w:p>
        </w:tc>
        <w:tc>
          <w:tcPr/>
          <w:p>
            <w:pPr>
              <w:pStyle w:val="Compact"/>
            </w:pPr>
            <w:r>
              <w:t xml:space="preserve">Transportes Lisboa‑Porto (se necessário).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 estimado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5 200,00</w:t>
            </w:r>
          </w:p>
        </w:tc>
        <w:tc>
          <w:tcPr/>
          <w:p>
            <w:pPr>
              <w:pStyle w:val="Compact"/>
            </w:pPr>
            <w:r>
              <w:t xml:space="preserve">Valor a ser aprovado pelo cliente antes da interposição.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6"/>
    <w:bookmarkStart w:id="17" w:name="conclusão-e-recomendações"/>
    <w:p>
      <w:pPr>
        <w:pStyle w:val="Heading3"/>
      </w:pPr>
      <w:r>
        <w:t xml:space="preserve">6. Conclusão e Recomendações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Interpor recurso de apelação</w:t>
      </w:r>
      <w:r>
        <w:t xml:space="preserve"> </w:t>
      </w:r>
      <w:r>
        <w:t xml:space="preserve">dentro do prazo legal (30 dias) é imprescindível para preservar os direitos do reclamante e evitar a consolidação da sentença desfavorável.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A</w:t>
      </w:r>
      <w:r>
        <w:t xml:space="preserve"> </w:t>
      </w:r>
      <w:r>
        <w:rPr>
          <w:b/>
          <w:bCs/>
        </w:rPr>
        <w:t xml:space="preserve">argumentação de desproporcionalidade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ausência de comunicação prévia escrita</w:t>
      </w:r>
      <w:r>
        <w:t xml:space="preserve"> </w:t>
      </w:r>
      <w:r>
        <w:t xml:space="preserve">constitui a espinha dorsal da defesa, apoiada em jurisprudência recente que tem reconhecido a necessidade de observância estrita dos requisitos formais do despedimento.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Negociação extrajudicial</w:t>
      </w:r>
      <w:r>
        <w:t xml:space="preserve"> </w:t>
      </w:r>
      <w:r>
        <w:t xml:space="preserve">pode ser considerada como estratégia paralela, sobretudo se a empresa mostrar disposição a chegar a um acordo antes da audiência de apelação.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Comunicação transparente</w:t>
      </w:r>
      <w:r>
        <w:t xml:space="preserve"> </w:t>
      </w:r>
      <w:r>
        <w:t xml:space="preserve">com o cliente deve ser mantida ao longo de todo o processo, garantindo que ele esteja ciente de cada etapa, dos custos envolvidos e das probabilidades de sucesso.</w:t>
      </w:r>
    </w:p>
    <w:p>
      <w:pPr>
        <w:pStyle w:val="BlockText"/>
      </w:pPr>
      <w:r>
        <w:rPr>
          <w:b/>
          <w:bCs/>
        </w:rPr>
        <w:t xml:space="preserve">Ação imediata:</w:t>
      </w:r>
      <w:r>
        <w:t xml:space="preserve"> </w:t>
      </w:r>
      <w:r>
        <w:t xml:space="preserve">Agendar a reunião estratégica com o cliente para o dia</w:t>
      </w:r>
      <w:r>
        <w:t xml:space="preserve"> </w:t>
      </w:r>
      <w:r>
        <w:rPr>
          <w:b/>
          <w:bCs/>
        </w:rPr>
        <w:t xml:space="preserve">22 de fevereiro de 2026</w:t>
      </w:r>
      <w:r>
        <w:t xml:space="preserve">, apresentar o plano de recurso e obter a aprovação do orçamento.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Preparado por:</w:t>
      </w:r>
      <w:r>
        <w:br/>
      </w:r>
      <w:r>
        <w:rPr>
          <w:b/>
          <w:bCs/>
        </w:rPr>
        <w:t xml:space="preserve">Dr. António Ribeiro</w:t>
      </w:r>
      <w:r>
        <w:t xml:space="preserve"> </w:t>
      </w:r>
      <w:r>
        <w:t xml:space="preserve">– Advogado, Ordem dos Advogados n.º 12345</w:t>
      </w:r>
      <w:r>
        <w:br/>
      </w:r>
      <w:r>
        <w:rPr>
          <w:b/>
          <w:bCs/>
        </w:rPr>
        <w:t xml:space="preserve">Dra. Sofia Carvalho</w:t>
      </w:r>
      <w:r>
        <w:t xml:space="preserve"> </w:t>
      </w:r>
      <w:r>
        <w:t xml:space="preserve">– Advogada, Ordem dos Advogados n.º 67890</w:t>
      </w:r>
    </w:p>
    <w:p>
      <w:pPr>
        <w:pStyle w:val="BodyText"/>
      </w:pPr>
      <w:r>
        <w:rPr>
          <w:i/>
          <w:iCs/>
        </w:rPr>
        <w:t xml:space="preserve">Data:</w:t>
      </w:r>
      <w:r>
        <w:t xml:space="preserve"> </w:t>
      </w:r>
      <w:r>
        <w:t xml:space="preserve">14 de fevereiro de 2026.</w:t>
      </w:r>
    </w:p>
    <w:bookmarkEnd w:id="17"/>
    <w:bookmarkEnd w:id="18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2026-02-22T18:50:39Z</dcterms:created>
  <dcterms:modified xsi:type="dcterms:W3CDTF">2026-02-22T18:50:39Z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